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bookmarkStart w:id="0" w:name="_GoBack"/>
      <w:r>
        <w:rPr>
          <w:rFonts w:hint="eastAsia" w:asciiTheme="minorEastAsia" w:hAnsiTheme="minorEastAsia"/>
          <w:b/>
          <w:sz w:val="36"/>
          <w:szCs w:val="36"/>
        </w:rPr>
        <w:t>关于同意</w:t>
      </w:r>
      <w:r>
        <w:rPr>
          <w:rFonts w:hint="eastAsia"/>
          <w:b/>
          <w:color w:val="000000"/>
          <w:sz w:val="36"/>
          <w:szCs w:val="36"/>
        </w:rPr>
        <w:t>翟予嘉</w:t>
      </w:r>
      <w:r>
        <w:rPr>
          <w:rFonts w:hint="eastAsia" w:asciiTheme="minorEastAsia" w:hAnsiTheme="minorEastAsia"/>
          <w:b/>
          <w:sz w:val="36"/>
          <w:szCs w:val="36"/>
        </w:rPr>
        <w:t>等167位学生转专业的通知</w:t>
      </w:r>
    </w:p>
    <w:bookmarkEnd w:id="0"/>
    <w:p>
      <w:pPr>
        <w:spacing w:line="460" w:lineRule="exact"/>
      </w:pPr>
    </w:p>
    <w:p>
      <w:pPr>
        <w:spacing w:line="460" w:lineRule="exact"/>
        <w:rPr>
          <w:rFonts w:asciiTheme="minorEastAsia" w:hAnsiTheme="minorEastAsia"/>
          <w:sz w:val="28"/>
          <w:szCs w:val="28"/>
        </w:rPr>
      </w:pPr>
      <w:r>
        <w:rPr>
          <w:rFonts w:hint="eastAsia" w:asciiTheme="minorEastAsia" w:hAnsiTheme="minorEastAsia"/>
          <w:sz w:val="28"/>
          <w:szCs w:val="28"/>
        </w:rPr>
        <w:t>各相关学院：</w:t>
      </w:r>
    </w:p>
    <w:p>
      <w:pPr>
        <w:spacing w:line="460" w:lineRule="exact"/>
        <w:rPr>
          <w:rFonts w:asciiTheme="minorEastAsia" w:hAnsiTheme="minorEastAsia"/>
          <w:sz w:val="28"/>
          <w:szCs w:val="28"/>
        </w:rPr>
      </w:pPr>
      <w:r>
        <w:rPr>
          <w:rFonts w:hint="eastAsia" w:asciiTheme="minorEastAsia" w:hAnsiTheme="minorEastAsia"/>
          <w:sz w:val="28"/>
          <w:szCs w:val="28"/>
        </w:rPr>
        <w:t xml:space="preserve">    根据</w:t>
      </w:r>
      <w:r>
        <w:rPr>
          <w:rFonts w:hint="eastAsia" w:cs="仿宋_GB2312" w:asciiTheme="minorEastAsia" w:hAnsiTheme="minorEastAsia"/>
          <w:sz w:val="28"/>
          <w:szCs w:val="28"/>
          <w:lang w:val="zh-CN"/>
        </w:rPr>
        <w:t>《江西农业大学普通本科生转专业管理办法（修订）》（赣农大发[2020]3号）</w:t>
      </w:r>
      <w:r>
        <w:rPr>
          <w:rFonts w:hint="eastAsia" w:asciiTheme="minorEastAsia" w:hAnsiTheme="minorEastAsia"/>
          <w:sz w:val="28"/>
          <w:szCs w:val="28"/>
        </w:rPr>
        <w:t>和《关于做好2020-2021学年普通本科生转专业工作的通知》（赣农大教发[2021]5号）等文件规定，现有</w:t>
      </w:r>
      <w:r>
        <w:rPr>
          <w:rFonts w:hint="eastAsia" w:asciiTheme="minorEastAsia" w:hAnsiTheme="minorEastAsia"/>
          <w:color w:val="000000"/>
          <w:sz w:val="28"/>
          <w:szCs w:val="28"/>
        </w:rPr>
        <w:t>翟予嘉</w:t>
      </w:r>
      <w:r>
        <w:rPr>
          <w:rFonts w:hint="eastAsia" w:asciiTheme="minorEastAsia" w:hAnsiTheme="minorEastAsia"/>
          <w:sz w:val="28"/>
          <w:szCs w:val="28"/>
        </w:rPr>
        <w:t>等学生提出转专业申请。经教务处与转入学院组织考核后，在教学网及学校办公系统进行了为期一周的公示，并报分管校领导批准，同意其中的167位学生转专业。现将有关事项通知如下：</w:t>
      </w:r>
    </w:p>
    <w:p>
      <w:pPr>
        <w:spacing w:line="460" w:lineRule="exact"/>
        <w:rPr>
          <w:rFonts w:cs="仿宋_GB2312" w:asciiTheme="minorEastAsia" w:hAnsiTheme="minorEastAsia"/>
          <w:sz w:val="28"/>
          <w:szCs w:val="28"/>
        </w:rPr>
      </w:pPr>
      <w:r>
        <w:rPr>
          <w:rFonts w:hint="eastAsia" w:asciiTheme="minorEastAsia" w:hAnsiTheme="minorEastAsia"/>
          <w:sz w:val="28"/>
          <w:szCs w:val="28"/>
        </w:rPr>
        <w:t xml:space="preserve">    </w:t>
      </w:r>
      <w:r>
        <w:rPr>
          <w:rFonts w:hint="eastAsia" w:cs="仿宋_GB2312" w:asciiTheme="minorEastAsia" w:hAnsiTheme="minorEastAsia"/>
          <w:sz w:val="28"/>
          <w:szCs w:val="28"/>
        </w:rPr>
        <w:t>被批准转专业的学生须于2021年9月1日前到转入学院报到并更换学生证，否则学院不予注册，请相关学院务必做好转专业学生的</w:t>
      </w:r>
      <w:r>
        <w:rPr>
          <w:rFonts w:hint="eastAsia" w:asciiTheme="minorEastAsia" w:hAnsiTheme="minorEastAsia"/>
          <w:sz w:val="28"/>
          <w:szCs w:val="28"/>
        </w:rPr>
        <w:t>学籍档案移交、课程补修、免修等相关</w:t>
      </w:r>
      <w:r>
        <w:rPr>
          <w:rFonts w:hint="eastAsia" w:cs="仿宋_GB2312" w:asciiTheme="minorEastAsia" w:hAnsiTheme="minorEastAsia"/>
          <w:sz w:val="28"/>
          <w:szCs w:val="28"/>
        </w:rPr>
        <w:t>工作。</w:t>
      </w:r>
    </w:p>
    <w:p>
      <w:pPr>
        <w:spacing w:line="460" w:lineRule="exact"/>
        <w:rPr>
          <w:rFonts w:asciiTheme="minorEastAsia" w:hAnsiTheme="minorEastAsia"/>
          <w:sz w:val="28"/>
          <w:szCs w:val="28"/>
        </w:rPr>
      </w:pPr>
      <w:r>
        <w:rPr>
          <w:rFonts w:hint="eastAsia" w:cs="仿宋_GB2312" w:asciiTheme="minorEastAsia" w:hAnsiTheme="minorEastAsia"/>
          <w:sz w:val="28"/>
          <w:szCs w:val="28"/>
        </w:rPr>
        <w:t xml:space="preserve">    学生转专业后必须按照转入专业培养计划的要求，修完规定的课程和学分才能毕业。转专业学生在原专业考核不合格的课程计入补考和留级计算门次，在大一学年已达到留级条件的转专业学生，在大二上学期，在转入专业做留级处理。</w:t>
      </w:r>
    </w:p>
    <w:p>
      <w:pPr>
        <w:spacing w:line="460" w:lineRule="exact"/>
        <w:rPr>
          <w:rFonts w:cs="Times New Roman" w:asciiTheme="minorEastAsia" w:hAnsiTheme="minorEastAsia"/>
          <w:sz w:val="28"/>
          <w:szCs w:val="28"/>
        </w:rPr>
      </w:pPr>
      <w:r>
        <w:rPr>
          <w:rFonts w:hint="eastAsia" w:cs="Times New Roman" w:asciiTheme="minorEastAsia" w:hAnsiTheme="minorEastAsia"/>
          <w:sz w:val="28"/>
          <w:szCs w:val="28"/>
        </w:rPr>
        <w:t xml:space="preserve">    </w:t>
      </w:r>
      <w:r>
        <w:rPr>
          <w:rFonts w:hint="eastAsia" w:cs="仿宋_GB2312" w:asciiTheme="minorEastAsia" w:hAnsiTheme="minorEastAsia"/>
          <w:sz w:val="28"/>
          <w:szCs w:val="28"/>
        </w:rPr>
        <w:t>转专业学生必须申请补修转入专业大一学年专业培养计划内应修读而未修读的相关课程，并可将补修考核合格课程的学分（学时）冲抵原专业考核不合格课程（不含公共课）的学分（学时），同时，转专业学生可申请免修转入专业大一学年专业培养计划内应修读而已修读的相关课程，具体补修、免修课程由转入学院报教学运行科备案。</w:t>
      </w:r>
    </w:p>
    <w:p>
      <w:pPr>
        <w:spacing w:line="460" w:lineRule="exact"/>
        <w:rPr>
          <w:rFonts w:asciiTheme="minorEastAsia" w:hAnsiTheme="minorEastAsia"/>
          <w:sz w:val="28"/>
          <w:szCs w:val="28"/>
        </w:rPr>
      </w:pPr>
      <w:r>
        <w:rPr>
          <w:rFonts w:hint="eastAsia" w:asciiTheme="minorEastAsia" w:hAnsiTheme="minorEastAsia"/>
          <w:sz w:val="28"/>
          <w:szCs w:val="28"/>
        </w:rPr>
        <w:t xml:space="preserve">    特此通知</w:t>
      </w:r>
      <w:r>
        <w:rPr>
          <w:rFonts w:hint="eastAsia" w:asciiTheme="minorEastAsia" w:hAnsiTheme="minorEastAsia"/>
          <w:sz w:val="28"/>
          <w:szCs w:val="28"/>
        </w:rPr>
        <w:tab/>
      </w:r>
    </w:p>
    <w:p>
      <w:pPr>
        <w:spacing w:line="460" w:lineRule="exact"/>
        <w:rPr>
          <w:rFonts w:asciiTheme="minorEastAsia" w:hAnsiTheme="minorEastAsia"/>
          <w:sz w:val="28"/>
          <w:szCs w:val="28"/>
        </w:rPr>
      </w:pPr>
    </w:p>
    <w:p>
      <w:pPr>
        <w:spacing w:line="460" w:lineRule="exact"/>
        <w:rPr>
          <w:rFonts w:asciiTheme="minorEastAsia" w:hAnsiTheme="minorEastAsia"/>
          <w:sz w:val="28"/>
          <w:szCs w:val="28"/>
        </w:rPr>
      </w:pPr>
      <w:r>
        <w:rPr>
          <w:rFonts w:hint="eastAsia" w:asciiTheme="minorEastAsia" w:hAnsiTheme="minorEastAsia"/>
          <w:sz w:val="28"/>
          <w:szCs w:val="28"/>
        </w:rPr>
        <w:t xml:space="preserve">    附件：江西农业大学2020—2021学年转专业学生名单</w:t>
      </w:r>
    </w:p>
    <w:p>
      <w:pPr>
        <w:spacing w:line="460" w:lineRule="exact"/>
        <w:rPr>
          <w:rFonts w:asciiTheme="minorEastAsia" w:hAnsiTheme="minorEastAsia"/>
          <w:sz w:val="28"/>
          <w:szCs w:val="28"/>
        </w:rPr>
      </w:pPr>
      <w:r>
        <w:rPr>
          <w:rFonts w:asciiTheme="minorEastAsia" w:hAnsiTheme="minorEastAsia"/>
          <w:sz w:val="28"/>
          <w:szCs w:val="28"/>
        </w:rPr>
        <w:t xml:space="preserve">                        </w:t>
      </w:r>
    </w:p>
    <w:p>
      <w:pPr>
        <w:spacing w:line="460" w:lineRule="exact"/>
        <w:rPr>
          <w:rFonts w:asciiTheme="minorEastAsia" w:hAnsiTheme="minorEastAsia"/>
          <w:sz w:val="28"/>
          <w:szCs w:val="28"/>
        </w:rPr>
      </w:pPr>
      <w:r>
        <w:rPr>
          <w:rFonts w:hint="eastAsia" w:asciiTheme="minorEastAsia" w:hAnsiTheme="minorEastAsia"/>
          <w:sz w:val="28"/>
          <w:szCs w:val="28"/>
        </w:rPr>
        <w:t xml:space="preserve">                                        江西农业大学教务处 </w:t>
      </w:r>
    </w:p>
    <w:p>
      <w:pPr>
        <w:spacing w:line="460" w:lineRule="exact"/>
        <w:rPr>
          <w:rFonts w:asciiTheme="minorEastAsia" w:hAnsiTheme="minorEastAsia"/>
          <w:sz w:val="28"/>
          <w:szCs w:val="28"/>
        </w:rPr>
      </w:pPr>
      <w:r>
        <w:rPr>
          <w:rFonts w:hint="eastAsia" w:asciiTheme="minorEastAsia" w:hAnsiTheme="minorEastAsia"/>
          <w:sz w:val="28"/>
          <w:szCs w:val="28"/>
        </w:rPr>
        <w:t xml:space="preserve">                                         2021年7月6日</w:t>
      </w:r>
    </w:p>
    <w:p>
      <w:pPr>
        <w:rPr>
          <w:rFonts w:asciiTheme="minorEastAsia" w:hAnsiTheme="minorEastAsia"/>
          <w:sz w:val="28"/>
          <w:szCs w:val="28"/>
        </w:rPr>
      </w:pPr>
    </w:p>
    <w:p/>
    <w:tbl>
      <w:tblPr>
        <w:tblStyle w:val="2"/>
        <w:tblW w:w="11240" w:type="dxa"/>
        <w:jc w:val="center"/>
        <w:tblInd w:w="-489" w:type="dxa"/>
        <w:tblLayout w:type="fixed"/>
        <w:tblCellMar>
          <w:top w:w="0" w:type="dxa"/>
          <w:left w:w="108" w:type="dxa"/>
          <w:bottom w:w="0" w:type="dxa"/>
          <w:right w:w="108" w:type="dxa"/>
        </w:tblCellMar>
      </w:tblPr>
      <w:tblGrid>
        <w:gridCol w:w="795"/>
        <w:gridCol w:w="1230"/>
        <w:gridCol w:w="1002"/>
        <w:gridCol w:w="1130"/>
        <w:gridCol w:w="2303"/>
        <w:gridCol w:w="1276"/>
        <w:gridCol w:w="2293"/>
        <w:gridCol w:w="1211"/>
      </w:tblGrid>
      <w:tr>
        <w:tblPrEx>
          <w:tblLayout w:type="fixed"/>
          <w:tblCellMar>
            <w:top w:w="0" w:type="dxa"/>
            <w:left w:w="108" w:type="dxa"/>
            <w:bottom w:w="0" w:type="dxa"/>
            <w:right w:w="108" w:type="dxa"/>
          </w:tblCellMar>
        </w:tblPrEx>
        <w:trPr>
          <w:trHeight w:val="720" w:hRule="atLeast"/>
          <w:jc w:val="center"/>
        </w:trPr>
        <w:tc>
          <w:tcPr>
            <w:tcW w:w="11240" w:type="dxa"/>
            <w:gridSpan w:val="8"/>
            <w:tcBorders>
              <w:top w:val="nil"/>
              <w:left w:val="nil"/>
              <w:bottom w:val="nil"/>
              <w:right w:val="nil"/>
            </w:tcBorders>
            <w:shd w:val="clear" w:color="auto" w:fill="auto"/>
            <w:vAlign w:val="center"/>
          </w:tcPr>
          <w:p>
            <w:pPr>
              <w:jc w:val="center"/>
              <w:rPr>
                <w:rFonts w:cs="宋体" w:asciiTheme="minorEastAsia" w:hAnsiTheme="minorEastAsia"/>
                <w:color w:val="000000"/>
                <w:sz w:val="28"/>
                <w:szCs w:val="28"/>
              </w:rPr>
            </w:pPr>
            <w:r>
              <w:rPr>
                <w:rFonts w:hint="eastAsia" w:asciiTheme="minorEastAsia" w:hAnsiTheme="minorEastAsia"/>
                <w:color w:val="000000"/>
                <w:sz w:val="28"/>
                <w:szCs w:val="28"/>
              </w:rPr>
              <w:t>附件:江西农业大学2020-2021学年转专业学生名单</w:t>
            </w:r>
          </w:p>
        </w:tc>
      </w:tr>
      <w:tr>
        <w:tblPrEx>
          <w:tblLayout w:type="fixed"/>
          <w:tblCellMar>
            <w:top w:w="0" w:type="dxa"/>
            <w:left w:w="108" w:type="dxa"/>
            <w:bottom w:w="0" w:type="dxa"/>
            <w:right w:w="108" w:type="dxa"/>
          </w:tblCellMar>
        </w:tblPrEx>
        <w:trPr>
          <w:trHeight w:val="300"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学号</w:t>
            </w:r>
          </w:p>
        </w:tc>
        <w:tc>
          <w:tcPr>
            <w:tcW w:w="10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姓名</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高考类别</w:t>
            </w:r>
          </w:p>
        </w:tc>
        <w:tc>
          <w:tcPr>
            <w:tcW w:w="23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现专业班级</w:t>
            </w:r>
          </w:p>
        </w:tc>
        <w:tc>
          <w:tcPr>
            <w:tcW w:w="22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转入学院</w:t>
            </w:r>
          </w:p>
        </w:tc>
        <w:tc>
          <w:tcPr>
            <w:tcW w:w="12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转入班级</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w:t>
            </w:r>
          </w:p>
        </w:tc>
        <w:tc>
          <w:tcPr>
            <w:tcW w:w="12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 xml:space="preserve">602020XXX </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翟予嘉</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不分文理</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植保2002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植检2001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施袁圆</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茶学2002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涂帅</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茶学2002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宋威</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计算机与信息工程学院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乐进</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钟祉阅</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园艺2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易钟玉</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园艺2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杨良宇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车辆2001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园艺2</w:t>
            </w:r>
            <w:r>
              <w:rPr>
                <w:rFonts w:hint="eastAsia"/>
                <w:sz w:val="20"/>
                <w:szCs w:val="20"/>
              </w:rPr>
              <w:t>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侯晓颖</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植检2001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植保2002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何子璇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日语2002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城规2001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彭彤卉</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食安2003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城规2001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张恒瑞</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茶学2001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李捷</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应化2003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杨熙烨</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园艺2001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曾固</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种科2001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王淑婷</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车辆2001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万文腾</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园艺2001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园林2001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王宇骁</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园林2001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陈欣</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不分文理</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制药2001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园林2001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杨浩</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动科2001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范秋雨</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动科2001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赵昊轩</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动科2002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葛羽</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李思佳</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食工2001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25</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方路遥</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制药2001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26</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陈荟琳</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制药2001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闻学鹏</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制药2001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李嘉玥</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水产2001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29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卜璇</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水产2002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王伟鉴</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水产2002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段德彬</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王长安</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李兰兰</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植检2001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黄宇</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植检2002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35</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王懋学</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职业师范学院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36</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杨晓雪</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古平平</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黄江武</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水产2001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39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曾晨露</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水产2001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余晨洁</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林学2001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720" w:hRule="atLeast"/>
          <w:jc w:val="center"/>
        </w:trPr>
        <w:tc>
          <w:tcPr>
            <w:tcW w:w="11240" w:type="dxa"/>
            <w:gridSpan w:val="8"/>
            <w:tcBorders>
              <w:top w:val="nil"/>
              <w:left w:val="nil"/>
              <w:bottom w:val="nil"/>
              <w:right w:val="nil"/>
            </w:tcBorders>
            <w:shd w:val="clear" w:color="auto" w:fill="auto"/>
            <w:vAlign w:val="center"/>
          </w:tcPr>
          <w:p>
            <w:pPr>
              <w:jc w:val="center"/>
              <w:rPr>
                <w:rFonts w:cs="宋体" w:asciiTheme="minorEastAsia" w:hAnsiTheme="minorEastAsia"/>
                <w:color w:val="000000"/>
                <w:sz w:val="28"/>
                <w:szCs w:val="28"/>
              </w:rPr>
            </w:pPr>
          </w:p>
        </w:tc>
      </w:tr>
      <w:tr>
        <w:tblPrEx>
          <w:tblLayout w:type="fixed"/>
          <w:tblCellMar>
            <w:top w:w="0" w:type="dxa"/>
            <w:left w:w="108" w:type="dxa"/>
            <w:bottom w:w="0" w:type="dxa"/>
            <w:right w:w="108" w:type="dxa"/>
          </w:tblCellMar>
        </w:tblPrEx>
        <w:trPr>
          <w:trHeight w:val="300"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学号</w:t>
            </w:r>
          </w:p>
        </w:tc>
        <w:tc>
          <w:tcPr>
            <w:tcW w:w="10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姓名</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高考类别</w:t>
            </w:r>
          </w:p>
        </w:tc>
        <w:tc>
          <w:tcPr>
            <w:tcW w:w="23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现专业班级</w:t>
            </w:r>
          </w:p>
        </w:tc>
        <w:tc>
          <w:tcPr>
            <w:tcW w:w="22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转入学院</w:t>
            </w:r>
          </w:p>
        </w:tc>
        <w:tc>
          <w:tcPr>
            <w:tcW w:w="12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转入班级</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向涛</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林学2001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郭明瑜</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资环2001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刘馥莉</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机制2003</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动医2003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谢雯玲</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动科2001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动药</w:t>
            </w:r>
            <w:r>
              <w:rPr>
                <w:rFonts w:hint="eastAsia"/>
                <w:color w:val="000000"/>
                <w:sz w:val="20"/>
                <w:szCs w:val="20"/>
              </w:rPr>
              <w:t>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45</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邓毅</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园艺2001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动科2001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46</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曾宇琛</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植保2002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动科2001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徐嘉兴</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车辆2001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动科2001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魏钢凝</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车辆2002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动科2001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49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肖琳</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水产2002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土木2001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余明飞</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生工2002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土木2002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甘利强</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资环2001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曹慧芳</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农学2002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孔嘉伟</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机制2004</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林上杰</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车辆2002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信工2001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江梦翔</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土木2001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信工2001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李一帆</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茶学2001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信工2001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张磊</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信工2002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周涛涛</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信工2002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59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童乐欣</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制药2001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范世鹏</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商务2002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刘芳超</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土木2001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吴健</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机制2001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计科2004</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唐炜</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农机2002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计科2004</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熊奕能</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车辆2002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罗炜</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计算机与信息工程学院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商务2002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计科2002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李传凯</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计科2004</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卢鹏</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车辆2001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计科2003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冯惠莹</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计科2002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69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吴申申</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土木2001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数据2001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张业晟</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数据2002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温明浩</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生工2001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数据2002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王雨欣</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数据2001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朱全志</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机制2003</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数据2002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杨萱</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祝浩丰</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熊雪彤</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园艺2001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文静</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计算机与信息工程学院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赖思伶</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英语2005</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会计2004</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79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郑永峰</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土木2002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肖悦悦</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园艺2002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会计2004</w:t>
            </w:r>
          </w:p>
        </w:tc>
      </w:tr>
      <w:tr>
        <w:tblPrEx>
          <w:tblLayout w:type="fixed"/>
          <w:tblCellMar>
            <w:top w:w="0" w:type="dxa"/>
            <w:left w:w="108" w:type="dxa"/>
            <w:bottom w:w="0" w:type="dxa"/>
            <w:right w:w="108" w:type="dxa"/>
          </w:tblCellMar>
        </w:tblPrEx>
        <w:trPr>
          <w:trHeight w:val="720" w:hRule="atLeast"/>
          <w:jc w:val="center"/>
        </w:trPr>
        <w:tc>
          <w:tcPr>
            <w:tcW w:w="11240" w:type="dxa"/>
            <w:gridSpan w:val="8"/>
            <w:tcBorders>
              <w:top w:val="nil"/>
              <w:left w:val="nil"/>
              <w:bottom w:val="nil"/>
              <w:right w:val="nil"/>
            </w:tcBorders>
            <w:shd w:val="clear" w:color="auto" w:fill="auto"/>
            <w:vAlign w:val="center"/>
          </w:tcPr>
          <w:p>
            <w:pPr>
              <w:jc w:val="center"/>
              <w:rPr>
                <w:rFonts w:cs="宋体" w:asciiTheme="minorEastAsia" w:hAnsiTheme="minorEastAsia"/>
                <w:color w:val="000000"/>
                <w:sz w:val="28"/>
                <w:szCs w:val="28"/>
              </w:rPr>
            </w:pPr>
          </w:p>
        </w:tc>
      </w:tr>
      <w:tr>
        <w:tblPrEx>
          <w:tblLayout w:type="fixed"/>
          <w:tblCellMar>
            <w:top w:w="0" w:type="dxa"/>
            <w:left w:w="108" w:type="dxa"/>
            <w:bottom w:w="0" w:type="dxa"/>
            <w:right w:w="108" w:type="dxa"/>
          </w:tblCellMar>
        </w:tblPrEx>
        <w:trPr>
          <w:trHeight w:val="300"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学号</w:t>
            </w:r>
          </w:p>
        </w:tc>
        <w:tc>
          <w:tcPr>
            <w:tcW w:w="10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姓名</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高考类别</w:t>
            </w:r>
          </w:p>
        </w:tc>
        <w:tc>
          <w:tcPr>
            <w:tcW w:w="23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现专业班级</w:t>
            </w:r>
          </w:p>
        </w:tc>
        <w:tc>
          <w:tcPr>
            <w:tcW w:w="22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转入学院</w:t>
            </w:r>
          </w:p>
        </w:tc>
        <w:tc>
          <w:tcPr>
            <w:tcW w:w="12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转入班级</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易子心</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会计2002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郭馥</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资环2001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刘文冰</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林紫康</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汤嘉琳</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黄聪</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袁子钦</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王力洪</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农机2002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金融2002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89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刘佳婷</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卢双羽</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葛雅丽</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李仁婷</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邓华雁</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左烨</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苏若程</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制药2001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谢云辉</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计算机与信息工程学院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计科2004</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应化2002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吕茂乐</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廖辰慧</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99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杨庭欢</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陶颖琪</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英语2005</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陈逸轩</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吴淑贞</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英语2003</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刘芊杭</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日语2002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r>
              <w:rPr>
                <w:rFonts w:hint="eastAsia"/>
                <w:color w:val="000000"/>
                <w:sz w:val="18"/>
                <w:szCs w:val="18"/>
              </w:rPr>
              <w:t>叶荣灵紫</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经管2003</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105</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蔡昊霖</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106</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李佳凤</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英语2005</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余彦来</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周依林</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109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蔡艺华</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英语2005</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吴俊</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钟怡君</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胡云云</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罗佳明</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钟淑英</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法学2002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115</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黄婷</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经济2001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116</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刘扬</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117</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周嘉鹭</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国贸2001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118</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苏周愿</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119</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倪鸿楠</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不分文理</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农学院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茶学2002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720" w:hRule="atLeast"/>
          <w:jc w:val="center"/>
        </w:trPr>
        <w:tc>
          <w:tcPr>
            <w:tcW w:w="11240" w:type="dxa"/>
            <w:gridSpan w:val="8"/>
            <w:tcBorders>
              <w:top w:val="nil"/>
              <w:left w:val="nil"/>
              <w:bottom w:val="nil"/>
              <w:right w:val="nil"/>
            </w:tcBorders>
            <w:shd w:val="clear" w:color="auto" w:fill="auto"/>
            <w:vAlign w:val="center"/>
          </w:tcPr>
          <w:p>
            <w:pPr>
              <w:jc w:val="center"/>
              <w:rPr>
                <w:rFonts w:cs="宋体" w:asciiTheme="minorEastAsia" w:hAnsiTheme="minorEastAsia"/>
                <w:color w:val="000000"/>
                <w:sz w:val="28"/>
                <w:szCs w:val="28"/>
              </w:rPr>
            </w:pPr>
          </w:p>
        </w:tc>
      </w:tr>
      <w:tr>
        <w:tblPrEx>
          <w:tblLayout w:type="fixed"/>
          <w:tblCellMar>
            <w:top w:w="0" w:type="dxa"/>
            <w:left w:w="108" w:type="dxa"/>
            <w:bottom w:w="0" w:type="dxa"/>
            <w:right w:w="108" w:type="dxa"/>
          </w:tblCellMar>
        </w:tblPrEx>
        <w:trPr>
          <w:trHeight w:val="300"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学号</w:t>
            </w:r>
          </w:p>
        </w:tc>
        <w:tc>
          <w:tcPr>
            <w:tcW w:w="10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姓名</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高考类别</w:t>
            </w:r>
          </w:p>
        </w:tc>
        <w:tc>
          <w:tcPr>
            <w:tcW w:w="23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现专业班级</w:t>
            </w:r>
          </w:p>
        </w:tc>
        <w:tc>
          <w:tcPr>
            <w:tcW w:w="22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转入学院</w:t>
            </w:r>
          </w:p>
        </w:tc>
        <w:tc>
          <w:tcPr>
            <w:tcW w:w="12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转入班级</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120</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林彩霞</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英语2003</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121</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胡馨怡</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公管2001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122</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赖艳霞</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英语2005</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123</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仇慕杨</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金融2001</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124</w:t>
            </w:r>
          </w:p>
        </w:tc>
        <w:tc>
          <w:tcPr>
            <w:tcW w:w="1230" w:type="dxa"/>
            <w:tcBorders>
              <w:top w:val="nil"/>
              <w:left w:val="nil"/>
              <w:bottom w:val="single" w:color="auto" w:sz="4" w:space="0"/>
              <w:right w:val="single" w:color="auto" w:sz="4" w:space="0"/>
            </w:tcBorders>
            <w:shd w:val="clear" w:color="auto" w:fill="auto"/>
            <w:noWrap/>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骆祖豪</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日语2002</w:t>
            </w:r>
          </w:p>
        </w:tc>
        <w:tc>
          <w:tcPr>
            <w:tcW w:w="22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文学2002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邹心颖</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沈金晶</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程慧云</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刘佳毅</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车辆2002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129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朱辰希</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环境2002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王微</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英语2005</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土管2003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白家奇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饶民哲</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种科2001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童瑜欣</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付文霞</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周星宇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人文与公共管理学院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公管2002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刘闰萍</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城规2001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刘奇</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139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张润博</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土管2002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汪梦茜</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植保2002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地信2001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林雨欣</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生工2001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地信2001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严悦彤</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农学院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农学2001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地信2001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单彬轩</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不分文理</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水产2002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生物科学与工程学院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制药2001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张海凤</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机制2003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生物科学与工程学院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制药2001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曾万彬</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计算机与信息工程学院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信计2002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食工2002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陈志豪</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农机2002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丁茗轩</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计算机与信息工程学院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商务2001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邓倩</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林学院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风景2002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英语2003</w:t>
            </w:r>
          </w:p>
        </w:tc>
      </w:tr>
      <w:tr>
        <w:tblPrEx>
          <w:tblLayout w:type="fixed"/>
          <w:tblCellMar>
            <w:top w:w="0" w:type="dxa"/>
            <w:left w:w="108" w:type="dxa"/>
            <w:bottom w:w="0" w:type="dxa"/>
            <w:right w:w="108" w:type="dxa"/>
          </w:tblCellMar>
        </w:tblPrEx>
        <w:trPr>
          <w:trHeight w:val="42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149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何玉珍子</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经管2002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英语2005</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曾佳欣</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李斯语</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动科2001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英语2005</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刘霓</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外国语学院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外国语学院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英语2002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谢元</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职业师范学院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教育2001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职业师范学院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罗智中</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动物科学技术学院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水产2001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职业师范学院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韩浩宇</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应化2003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职业师范学院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蔡芯童</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食品科学与工程学院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食工2002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职业师范学院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张明子</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国土资源与环境学院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旅游2001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职业师范学院</w:t>
            </w:r>
          </w:p>
        </w:tc>
        <w:tc>
          <w:tcPr>
            <w:tcW w:w="12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数技2001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158</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陈丽萍</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软件2009</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软件2001</w:t>
            </w:r>
          </w:p>
        </w:tc>
      </w:tr>
      <w:tr>
        <w:tblPrEx>
          <w:tblLayout w:type="fixed"/>
          <w:tblCellMar>
            <w:top w:w="0" w:type="dxa"/>
            <w:left w:w="108" w:type="dxa"/>
            <w:bottom w:w="0" w:type="dxa"/>
            <w:right w:w="108" w:type="dxa"/>
          </w:tblCellMar>
        </w:tblPrEx>
        <w:trPr>
          <w:trHeight w:val="720" w:hRule="atLeast"/>
          <w:jc w:val="center"/>
        </w:trPr>
        <w:tc>
          <w:tcPr>
            <w:tcW w:w="11240" w:type="dxa"/>
            <w:gridSpan w:val="8"/>
            <w:tcBorders>
              <w:top w:val="nil"/>
              <w:left w:val="nil"/>
              <w:bottom w:val="nil"/>
              <w:right w:val="nil"/>
            </w:tcBorders>
            <w:shd w:val="clear" w:color="auto" w:fill="auto"/>
            <w:vAlign w:val="center"/>
          </w:tcPr>
          <w:p>
            <w:pPr>
              <w:jc w:val="center"/>
              <w:rPr>
                <w:rFonts w:cs="宋体" w:asciiTheme="minorEastAsia" w:hAnsiTheme="minorEastAsia"/>
                <w:color w:val="000000"/>
                <w:sz w:val="28"/>
                <w:szCs w:val="28"/>
              </w:rPr>
            </w:pPr>
          </w:p>
        </w:tc>
      </w:tr>
      <w:tr>
        <w:tblPrEx>
          <w:tblLayout w:type="fixed"/>
          <w:tblCellMar>
            <w:top w:w="0" w:type="dxa"/>
            <w:left w:w="108" w:type="dxa"/>
            <w:bottom w:w="0" w:type="dxa"/>
            <w:right w:w="108" w:type="dxa"/>
          </w:tblCellMar>
        </w:tblPrEx>
        <w:trPr>
          <w:trHeight w:val="300"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学号</w:t>
            </w:r>
          </w:p>
        </w:tc>
        <w:tc>
          <w:tcPr>
            <w:tcW w:w="10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姓名</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高考类别</w:t>
            </w:r>
          </w:p>
        </w:tc>
        <w:tc>
          <w:tcPr>
            <w:tcW w:w="23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现专业班级</w:t>
            </w:r>
          </w:p>
        </w:tc>
        <w:tc>
          <w:tcPr>
            <w:tcW w:w="22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转入学院</w:t>
            </w:r>
          </w:p>
        </w:tc>
        <w:tc>
          <w:tcPr>
            <w:tcW w:w="12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20"/>
                <w:szCs w:val="20"/>
              </w:rPr>
            </w:pPr>
            <w:r>
              <w:rPr>
                <w:rFonts w:hint="eastAsia"/>
                <w:b/>
                <w:bCs/>
                <w:color w:val="000000"/>
                <w:sz w:val="20"/>
                <w:szCs w:val="20"/>
              </w:rPr>
              <w:t>转入班级</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159</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聂宇宏</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生物科学与工程学院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制药2002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160</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罗聪</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软件2003</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161</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董燕</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软件2004</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软件2005</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162</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刘文韬</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职业师范学院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教育2001</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软件2006</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163</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徐云</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软件2009</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软件2007</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164</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李宗耀</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文科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经济管理学院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工商2002</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软件2011</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165</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彭星峰</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166</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王祖杰</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软件2012</w:t>
            </w:r>
          </w:p>
        </w:tc>
      </w:tr>
      <w:tr>
        <w:tblPrEx>
          <w:tblLayout w:type="fixed"/>
          <w:tblCellMar>
            <w:top w:w="0" w:type="dxa"/>
            <w:left w:w="108" w:type="dxa"/>
            <w:bottom w:w="0" w:type="dxa"/>
            <w:right w:w="108" w:type="dxa"/>
          </w:tblCellMar>
        </w:tblPrEx>
        <w:trPr>
          <w:trHeight w:val="300"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167</w:t>
            </w:r>
          </w:p>
        </w:tc>
        <w:tc>
          <w:tcPr>
            <w:tcW w:w="1230" w:type="dxa"/>
            <w:tcBorders>
              <w:top w:val="nil"/>
              <w:left w:val="nil"/>
              <w:bottom w:val="single" w:color="auto" w:sz="4" w:space="0"/>
              <w:right w:val="single" w:color="auto" w:sz="4" w:space="0"/>
            </w:tcBorders>
            <w:shd w:val="clear" w:color="auto" w:fill="auto"/>
          </w:tcPr>
          <w:p>
            <w:r>
              <w:rPr>
                <w:rFonts w:hint="eastAsia"/>
                <w:color w:val="000000"/>
                <w:sz w:val="20"/>
                <w:szCs w:val="20"/>
              </w:rPr>
              <w:t>602020XXX</w:t>
            </w:r>
          </w:p>
        </w:tc>
        <w:tc>
          <w:tcPr>
            <w:tcW w:w="100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金泽宁</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理科</w:t>
            </w:r>
          </w:p>
        </w:tc>
        <w:tc>
          <w:tcPr>
            <w:tcW w:w="23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软件2013</w:t>
            </w:r>
          </w:p>
        </w:tc>
        <w:tc>
          <w:tcPr>
            <w:tcW w:w="22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软件学院</w:t>
            </w:r>
          </w:p>
        </w:tc>
        <w:tc>
          <w:tcPr>
            <w:tcW w:w="121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软件2012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A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FollowedHyperlink"/>
    <w:basedOn w:val="3"/>
    <w:semiHidden/>
    <w:unhideWhenUsed/>
    <w:uiPriority w:val="99"/>
    <w:rPr>
      <w:color w:val="954F72"/>
      <w:u w:val="single"/>
    </w:rPr>
  </w:style>
  <w:style w:type="character" w:styleId="5">
    <w:name w:val="Hyperlink"/>
    <w:basedOn w:val="3"/>
    <w:semiHidden/>
    <w:unhideWhenUsed/>
    <w:uiPriority w:val="99"/>
    <w:rPr>
      <w:color w:val="0563C1"/>
      <w:u w:val="single"/>
    </w:rPr>
  </w:style>
  <w:style w:type="paragraph" w:customStyle="1" w:styleId="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4">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5">
    <w:name w:val="xl72"/>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3F125-D9EB-4C33-88DF-3F9CEC4E5638}">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1388</Words>
  <Characters>7915</Characters>
  <Lines>65</Lines>
  <Paragraphs>18</Paragraphs>
  <TotalTime>61</TotalTime>
  <ScaleCrop>false</ScaleCrop>
  <LinksUpToDate>false</LinksUpToDate>
  <CharactersWithSpaces>9285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2021-06-29T07:32:00Z</dcterms:created>
  <dc:creator>lenovo</dc:creator>
  <cp:lastModifiedBy>行走100国</cp:lastModifiedBy>
  <dcterms:modified xsi:type="dcterms:W3CDTF">2021-07-07T00:37:15Z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